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A75" w:rsidRDefault="00997A75" w:rsidP="00F677EF">
      <w:pPr>
        <w:jc w:val="center"/>
        <w:rPr>
          <w:rFonts w:ascii="Arial" w:hAnsi="Arial" w:cs="Arial"/>
          <w:b/>
        </w:rPr>
      </w:pPr>
      <w:bookmarkStart w:id="0" w:name="_GoBack"/>
      <w:bookmarkEnd w:id="0"/>
    </w:p>
    <w:p w:rsidR="00C36042" w:rsidRDefault="00F677EF" w:rsidP="00F677EF">
      <w:pPr>
        <w:jc w:val="center"/>
        <w:rPr>
          <w:rFonts w:ascii="Arial" w:hAnsi="Arial" w:cs="Arial"/>
          <w:b/>
        </w:rPr>
      </w:pPr>
      <w:r w:rsidRPr="00DA4C9A">
        <w:rPr>
          <w:rFonts w:ascii="Arial" w:eastAsia="Arial" w:hAnsi="Arial" w:cs="Arial"/>
          <w:b/>
          <w:lang w:val="en-GB" w:bidi="en-GB"/>
        </w:rPr>
        <w:t>TECHNICAL DATA SHEET</w:t>
      </w:r>
    </w:p>
    <w:p w:rsidR="00DA4C9A" w:rsidRPr="005F682E" w:rsidRDefault="009C7881" w:rsidP="005F682E">
      <w:pPr>
        <w:spacing w:after="0" w:line="240" w:lineRule="auto"/>
        <w:jc w:val="center"/>
        <w:rPr>
          <w:rFonts w:ascii="Arial" w:hAnsi="Arial" w:cs="Arial"/>
          <w:b/>
          <w:i/>
          <w:color w:val="0070C0"/>
          <w:sz w:val="18"/>
          <w:szCs w:val="18"/>
        </w:rPr>
      </w:pPr>
      <w:r>
        <w:rPr>
          <w:rFonts w:ascii="Arial" w:eastAsia="Arial" w:hAnsi="Arial" w:cs="Arial"/>
          <w:b/>
          <w:i/>
          <w:sz w:val="50"/>
          <w:szCs w:val="50"/>
          <w:lang w:val="en-GB" w:bidi="en-GB"/>
        </w:rPr>
        <w:t>H160 Descal</w:t>
      </w:r>
      <w:r>
        <w:rPr>
          <w:rFonts w:ascii="Arial" w:eastAsia="Arial" w:hAnsi="Arial" w:cs="Arial"/>
          <w:b/>
          <w:i/>
          <w:sz w:val="50"/>
          <w:szCs w:val="50"/>
          <w:lang w:val="en-GB" w:bidi="en-GB"/>
        </w:rPr>
        <w:br/>
      </w:r>
    </w:p>
    <w:p w:rsidR="00A347C2" w:rsidRPr="006317FE" w:rsidRDefault="00C76AE4" w:rsidP="00072FC3">
      <w:pPr>
        <w:autoSpaceDE w:val="0"/>
        <w:autoSpaceDN w:val="0"/>
        <w:adjustRightInd w:val="0"/>
        <w:spacing w:after="0" w:line="240" w:lineRule="auto"/>
        <w:jc w:val="center"/>
        <w:rPr>
          <w:rFonts w:ascii="Arial" w:hAnsi="Arial" w:cs="Arial"/>
          <w:b/>
          <w:bCs/>
        </w:rPr>
      </w:pPr>
      <w:r>
        <w:rPr>
          <w:rFonts w:ascii="Arial" w:eastAsia="Arial" w:hAnsi="Arial" w:cs="Arial"/>
          <w:b/>
          <w:i/>
          <w:sz w:val="28"/>
          <w:szCs w:val="28"/>
          <w:lang w:val="en-GB" w:bidi="en-GB"/>
        </w:rPr>
        <w:t>Descaler and chemical cleaner</w:t>
      </w:r>
    </w:p>
    <w:p w:rsidR="00380E65" w:rsidRDefault="00380E65" w:rsidP="00380E65">
      <w:pPr>
        <w:autoSpaceDE w:val="0"/>
        <w:autoSpaceDN w:val="0"/>
        <w:adjustRightInd w:val="0"/>
        <w:spacing w:after="0" w:line="240" w:lineRule="auto"/>
        <w:rPr>
          <w:rFonts w:ascii="Arial" w:hAnsi="Arial" w:cs="Arial"/>
          <w:b/>
          <w:bCs/>
          <w:sz w:val="20"/>
          <w:szCs w:val="20"/>
        </w:rPr>
      </w:pPr>
    </w:p>
    <w:p w:rsidR="00380E65" w:rsidRDefault="00380E65" w:rsidP="00380E65">
      <w:pPr>
        <w:autoSpaceDE w:val="0"/>
        <w:autoSpaceDN w:val="0"/>
        <w:adjustRightInd w:val="0"/>
        <w:spacing w:after="0" w:line="240" w:lineRule="auto"/>
        <w:rPr>
          <w:rFonts w:ascii="Arial" w:hAnsi="Arial" w:cs="Arial"/>
          <w:b/>
          <w:bCs/>
          <w:sz w:val="20"/>
          <w:szCs w:val="20"/>
        </w:rPr>
      </w:pPr>
    </w:p>
    <w:p w:rsidR="00380E65" w:rsidRDefault="00380E65" w:rsidP="00380E65">
      <w:pPr>
        <w:autoSpaceDE w:val="0"/>
        <w:autoSpaceDN w:val="0"/>
        <w:adjustRightInd w:val="0"/>
        <w:spacing w:after="0" w:line="240" w:lineRule="auto"/>
        <w:rPr>
          <w:rFonts w:ascii="Microsoft Sans Serif" w:hAnsi="Microsoft Sans Serif" w:cs="Microsoft Sans Serif"/>
          <w:sz w:val="21"/>
          <w:szCs w:val="21"/>
        </w:rPr>
      </w:pPr>
    </w:p>
    <w:p w:rsidR="00747898"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b/>
          <w:sz w:val="20"/>
          <w:szCs w:val="20"/>
          <w:lang w:val="en-GB" w:bidi="en-GB"/>
        </w:rPr>
        <w:t xml:space="preserve">Descaler </w:t>
      </w:r>
      <w:r w:rsidRPr="001A1D65">
        <w:rPr>
          <w:rFonts w:ascii="Arial" w:eastAsia="Times New Roman" w:hAnsi="Arial" w:cs="Arial"/>
          <w:sz w:val="20"/>
          <w:szCs w:val="20"/>
          <w:lang w:val="en-GB" w:bidi="en-GB"/>
        </w:rPr>
        <w:t xml:space="preserve">of limestone and rust from </w:t>
      </w:r>
      <w:r w:rsidRPr="001A1D65">
        <w:rPr>
          <w:rFonts w:ascii="Arial" w:eastAsia="Times New Roman" w:hAnsi="Arial" w:cs="Arial"/>
          <w:b/>
          <w:sz w:val="20"/>
          <w:szCs w:val="20"/>
          <w:lang w:val="en-GB" w:bidi="en-GB"/>
        </w:rPr>
        <w:t>inorganic acids</w:t>
      </w:r>
      <w:r w:rsidRPr="001A1D65">
        <w:rPr>
          <w:rFonts w:ascii="Arial" w:eastAsia="Times New Roman" w:hAnsi="Arial" w:cs="Arial"/>
          <w:sz w:val="20"/>
          <w:szCs w:val="20"/>
          <w:lang w:val="en-GB" w:bidi="en-GB"/>
        </w:rPr>
        <w:t>,</w:t>
      </w:r>
      <w:r w:rsidRPr="001A1D65">
        <w:rPr>
          <w:rFonts w:ascii="Arial" w:eastAsia="Times New Roman" w:hAnsi="Arial" w:cs="Arial"/>
          <w:b/>
          <w:sz w:val="20"/>
          <w:szCs w:val="20"/>
          <w:lang w:val="en-GB" w:bidi="en-GB"/>
        </w:rPr>
        <w:t xml:space="preserve"> </w:t>
      </w:r>
      <w:r w:rsidRPr="001A1D65">
        <w:rPr>
          <w:rFonts w:ascii="Arial" w:eastAsia="Times New Roman" w:hAnsi="Arial" w:cs="Arial"/>
          <w:sz w:val="20"/>
          <w:szCs w:val="20"/>
          <w:lang w:val="en-GB" w:bidi="en-GB"/>
        </w:rPr>
        <w:t>effective and particularly quick in removing light layers of limestone, oxides and saline scales, which are very tough (e.g. cement) from any surface.  Treated with specific corrosion-inhibitors for the protection of iron, cast iron, black steel and copper surfaces. Suitable for any plastic or rubber material.</w:t>
      </w:r>
    </w:p>
    <w:p w:rsidR="003938F2" w:rsidRDefault="003938F2" w:rsidP="00747898">
      <w:pPr>
        <w:spacing w:after="0" w:line="240" w:lineRule="auto"/>
        <w:ind w:left="-284" w:right="-285"/>
        <w:jc w:val="both"/>
        <w:rPr>
          <w:rFonts w:ascii="Arial" w:eastAsia="Times New Roman" w:hAnsi="Arial" w:cs="Arial"/>
          <w:sz w:val="20"/>
          <w:szCs w:val="20"/>
          <w:lang w:eastAsia="it-IT"/>
        </w:rPr>
      </w:pPr>
    </w:p>
    <w:p w:rsidR="001A1D65"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b/>
          <w:sz w:val="20"/>
          <w:szCs w:val="20"/>
          <w:lang w:val="en-GB" w:bidi="en-GB"/>
        </w:rPr>
        <w:t>APPLICATION AREAS:</w:t>
      </w:r>
      <w:r w:rsidRPr="001A1D65">
        <w:rPr>
          <w:rFonts w:ascii="Arial" w:eastAsia="Times New Roman" w:hAnsi="Arial" w:cs="Arial"/>
          <w:sz w:val="20"/>
          <w:szCs w:val="20"/>
          <w:lang w:val="en-GB" w:bidi="en-GB"/>
        </w:rPr>
        <w:t xml:space="preserve">  </w:t>
      </w:r>
    </w:p>
    <w:p w:rsidR="000D1B33"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sz w:val="20"/>
          <w:szCs w:val="20"/>
          <w:lang w:val="en-GB" w:bidi="en-GB"/>
        </w:rPr>
        <w:t>quickly removes oxidation from water side boilers, coils, printing machines, pipes, heat exchangers, cooling towers and concrete mixers.</w:t>
      </w:r>
    </w:p>
    <w:p w:rsidR="000D1B33" w:rsidRDefault="000D1B33" w:rsidP="00747898">
      <w:pPr>
        <w:spacing w:after="0" w:line="240" w:lineRule="auto"/>
        <w:ind w:left="-284" w:right="-285"/>
        <w:jc w:val="both"/>
        <w:rPr>
          <w:rFonts w:ascii="Arial" w:eastAsia="Times New Roman" w:hAnsi="Arial" w:cs="Arial"/>
          <w:sz w:val="20"/>
          <w:szCs w:val="20"/>
          <w:lang w:eastAsia="it-IT"/>
        </w:rPr>
      </w:pPr>
    </w:p>
    <w:p w:rsidR="001A1D65" w:rsidRPr="001A1D65"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sz w:val="20"/>
          <w:szCs w:val="20"/>
          <w:lang w:val="en-GB" w:bidi="en-GB"/>
        </w:rPr>
        <w:t xml:space="preserve"> </w:t>
      </w:r>
    </w:p>
    <w:p w:rsidR="007A25D1" w:rsidRDefault="000D1B33"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b/>
          <w:sz w:val="20"/>
          <w:szCs w:val="20"/>
          <w:lang w:val="en-GB" w:bidi="en-GB"/>
        </w:rPr>
        <w:t>USE:</w:t>
      </w:r>
      <w:r>
        <w:rPr>
          <w:rFonts w:ascii="Arial" w:eastAsia="Times New Roman" w:hAnsi="Arial" w:cs="Arial"/>
          <w:b/>
          <w:sz w:val="20"/>
          <w:szCs w:val="20"/>
          <w:lang w:val="en-GB" w:bidi="en-GB"/>
        </w:rPr>
        <w:br/>
      </w:r>
      <w:r>
        <w:rPr>
          <w:rFonts w:ascii="Arial" w:eastAsia="Times New Roman" w:hAnsi="Arial" w:cs="Arial"/>
          <w:sz w:val="20"/>
          <w:szCs w:val="20"/>
          <w:lang w:val="en-GB" w:bidi="en-GB"/>
        </w:rPr>
        <w:t xml:space="preserve">in a plastic container or </w:t>
      </w:r>
      <w:r>
        <w:rPr>
          <w:rFonts w:ascii="Arial" w:eastAsia="Times New Roman" w:hAnsi="Arial" w:cs="Arial"/>
          <w:b/>
          <w:sz w:val="20"/>
          <w:szCs w:val="20"/>
          <w:lang w:val="en-GB" w:bidi="en-GB"/>
        </w:rPr>
        <w:t>resistant to acids</w:t>
      </w:r>
      <w:r>
        <w:rPr>
          <w:rFonts w:ascii="Arial" w:eastAsia="Times New Roman" w:hAnsi="Arial" w:cs="Arial"/>
          <w:sz w:val="20"/>
          <w:szCs w:val="20"/>
          <w:lang w:val="en-GB" w:bidi="en-GB"/>
        </w:rPr>
        <w:t>,</w:t>
      </w:r>
      <w:r>
        <w:rPr>
          <w:rFonts w:ascii="Arial" w:eastAsia="Times New Roman" w:hAnsi="Arial" w:cs="Arial"/>
          <w:b/>
          <w:sz w:val="20"/>
          <w:szCs w:val="20"/>
          <w:lang w:val="en-GB" w:bidi="en-GB"/>
        </w:rPr>
        <w:t xml:space="preserve"> dilute </w:t>
      </w:r>
      <w:r>
        <w:rPr>
          <w:rFonts w:ascii="Arial" w:eastAsia="Times New Roman" w:hAnsi="Arial" w:cs="Arial"/>
          <w:sz w:val="20"/>
          <w:szCs w:val="20"/>
          <w:lang w:val="en-GB" w:bidi="en-GB"/>
        </w:rPr>
        <w:t>a part of product with 3/10 parts of water, according to the thickness of the scale.</w:t>
      </w:r>
    </w:p>
    <w:p w:rsidR="007A25D1" w:rsidRDefault="000D1B33"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sz w:val="20"/>
          <w:szCs w:val="20"/>
          <w:lang w:val="en-GB" w:bidi="en-GB"/>
        </w:rPr>
        <w:t xml:space="preserve">The solution can be applied on the surfaces to be treated, or put in the circulation of the system to be descaled, removing any solid deposits. </w:t>
      </w:r>
      <w:r>
        <w:rPr>
          <w:rFonts w:ascii="Arial" w:eastAsia="Times New Roman" w:hAnsi="Arial" w:cs="Arial"/>
          <w:sz w:val="20"/>
          <w:szCs w:val="20"/>
          <w:lang w:val="en-GB" w:bidi="en-GB"/>
        </w:rPr>
        <w:br/>
        <w:t>For the descaling of single units of the circuit, it is recommended to use decalcification pumps suitable for activating a closed circuit with the utility to be descaled.</w:t>
      </w:r>
    </w:p>
    <w:p w:rsidR="007A25D1" w:rsidRDefault="003938F2" w:rsidP="000D1B33">
      <w:pPr>
        <w:spacing w:after="0" w:line="240" w:lineRule="auto"/>
        <w:ind w:left="-284" w:right="-285"/>
        <w:rPr>
          <w:rFonts w:ascii="Arial" w:eastAsia="Times New Roman" w:hAnsi="Arial" w:cs="Arial"/>
          <w:sz w:val="20"/>
          <w:szCs w:val="20"/>
          <w:lang w:eastAsia="it-IT"/>
        </w:rPr>
      </w:pPr>
      <w:r w:rsidRPr="00747898">
        <w:rPr>
          <w:rFonts w:ascii="Arial" w:eastAsia="Times New Roman" w:hAnsi="Arial" w:cs="Arial"/>
          <w:sz w:val="20"/>
          <w:szCs w:val="20"/>
          <w:lang w:val="en-GB" w:bidi="en-GB"/>
        </w:rPr>
        <w:t xml:space="preserve">Let the </w:t>
      </w:r>
      <w:r w:rsidRPr="00747898">
        <w:rPr>
          <w:rFonts w:ascii="Arial" w:eastAsia="Times New Roman" w:hAnsi="Arial" w:cs="Arial"/>
          <w:b/>
          <w:sz w:val="20"/>
          <w:szCs w:val="20"/>
          <w:lang w:val="en-GB" w:bidi="en-GB"/>
        </w:rPr>
        <w:t xml:space="preserve">acid </w:t>
      </w:r>
      <w:r w:rsidRPr="00747898">
        <w:rPr>
          <w:rFonts w:ascii="Arial" w:eastAsia="Times New Roman" w:hAnsi="Arial" w:cs="Arial"/>
          <w:sz w:val="20"/>
          <w:szCs w:val="20"/>
          <w:lang w:val="en-GB" w:bidi="en-GB"/>
        </w:rPr>
        <w:t>solution circulate by letting it stand until gas bubbles are no longer produced (harmless carbon dioxide), if needed, repeat the procedure. The formation of plenty of foam means that proper descaling action is under way.</w:t>
      </w:r>
    </w:p>
    <w:p w:rsidR="003938F2" w:rsidRPr="00FF6033" w:rsidRDefault="007A25D1"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sz w:val="20"/>
          <w:szCs w:val="20"/>
          <w:lang w:val="en-GB" w:bidi="en-GB"/>
        </w:rPr>
        <w:t>Should small parts need to be treated, dipping accordingly is the most suitable. The activity of the acid solution can be controlled with a 1-10 scale litmus paper.  The solution is active with a pH below 3. When the washing is finished, rinse the system with a neutralising product on possible acid residues. As far as the elimination of the acid solution remaining from the washing is concerned, please refer to the provisions in force (classification based on a proper chemical analysis carried out by an authorised laboratory).</w:t>
      </w:r>
    </w:p>
    <w:p w:rsidR="00747898" w:rsidRDefault="00747898" w:rsidP="00747898">
      <w:pPr>
        <w:spacing w:after="0" w:line="240" w:lineRule="auto"/>
        <w:ind w:left="-284" w:right="-285"/>
        <w:jc w:val="both"/>
        <w:rPr>
          <w:rFonts w:ascii="Arial" w:eastAsia="Times New Roman" w:hAnsi="Arial" w:cs="Arial"/>
          <w:sz w:val="20"/>
          <w:szCs w:val="20"/>
          <w:lang w:eastAsia="it-IT"/>
        </w:rPr>
      </w:pPr>
    </w:p>
    <w:p w:rsidR="003938F2" w:rsidRPr="003938F2" w:rsidRDefault="003938F2" w:rsidP="00747898">
      <w:pPr>
        <w:spacing w:after="0" w:line="240" w:lineRule="auto"/>
        <w:ind w:left="-284" w:right="-285"/>
        <w:jc w:val="both"/>
        <w:rPr>
          <w:rFonts w:ascii="Arial" w:eastAsia="Times New Roman" w:hAnsi="Arial" w:cs="Arial"/>
          <w:b/>
          <w:sz w:val="20"/>
          <w:szCs w:val="20"/>
          <w:lang w:eastAsia="it-IT"/>
        </w:rPr>
      </w:pPr>
      <w:r w:rsidRPr="003938F2">
        <w:rPr>
          <w:rFonts w:ascii="Arial" w:eastAsia="Times New Roman" w:hAnsi="Arial" w:cs="Arial"/>
          <w:b/>
          <w:sz w:val="20"/>
          <w:szCs w:val="20"/>
          <w:lang w:val="en-GB" w:bidi="en-GB"/>
        </w:rPr>
        <w:t>FEATURES</w:t>
      </w:r>
    </w:p>
    <w:p w:rsidR="001977DE" w:rsidRPr="003938F2" w:rsidRDefault="001977DE" w:rsidP="003938F2">
      <w:pPr>
        <w:pStyle w:val="ListParagraph"/>
        <w:numPr>
          <w:ilvl w:val="0"/>
          <w:numId w:val="1"/>
        </w:numPr>
        <w:spacing w:after="0" w:line="240" w:lineRule="auto"/>
        <w:ind w:right="-285"/>
        <w:jc w:val="both"/>
        <w:rPr>
          <w:rFonts w:ascii="Arial" w:eastAsia="Times New Roman" w:hAnsi="Arial" w:cs="Arial"/>
          <w:sz w:val="20"/>
          <w:szCs w:val="20"/>
          <w:lang w:eastAsia="it-IT"/>
        </w:rPr>
      </w:pPr>
      <w:r w:rsidRPr="003938F2">
        <w:rPr>
          <w:rFonts w:ascii="Arial" w:eastAsia="Times New Roman" w:hAnsi="Arial" w:cs="Arial"/>
          <w:sz w:val="20"/>
          <w:szCs w:val="20"/>
          <w:lang w:val="en-GB" w:bidi="en-GB"/>
        </w:rPr>
        <w:t>Appearance: colourless-light yellow liquid</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Odour: pungent</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Chemical stability: stable under normal conditions</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Inflammable: no</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Biodegradability: &gt; 90% art. 2 and 4 – L. 26/04/83 n. 136</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Foaming-agent power: low</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sidRPr="001977DE">
        <w:rPr>
          <w:rFonts w:ascii="Arial" w:eastAsia="Times New Roman" w:hAnsi="Arial" w:cs="Arial"/>
          <w:sz w:val="20"/>
          <w:szCs w:val="20"/>
          <w:lang w:val="en-GB" w:bidi="en-GB"/>
        </w:rPr>
        <w:t>pH</w:t>
      </w:r>
      <w:r w:rsidRPr="001977DE">
        <w:rPr>
          <w:rFonts w:ascii="Arial" w:eastAsia="Times New Roman" w:hAnsi="Arial" w:cs="Arial"/>
          <w:sz w:val="20"/>
          <w:szCs w:val="20"/>
          <w:lang w:val="en-GB" w:bidi="en-GB"/>
        </w:rPr>
        <w:tab/>
        <w:t>: 1</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Unit of measure: Kg</w:t>
      </w:r>
    </w:p>
    <w:p w:rsidR="001977DE" w:rsidRPr="001977DE" w:rsidRDefault="001977DE" w:rsidP="001977DE">
      <w:pPr>
        <w:pStyle w:val="ListParagraph"/>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val="en-GB" w:bidi="en-GB"/>
        </w:rPr>
        <w:t>ADR: required</w:t>
      </w:r>
    </w:p>
    <w:p w:rsidR="001977DE" w:rsidRDefault="001977DE" w:rsidP="00747898">
      <w:pPr>
        <w:spacing w:after="0" w:line="240" w:lineRule="auto"/>
        <w:ind w:left="-284" w:right="-285"/>
        <w:jc w:val="both"/>
        <w:rPr>
          <w:rFonts w:ascii="Arial" w:eastAsia="Times New Roman" w:hAnsi="Arial" w:cs="Arial"/>
          <w:b/>
          <w:sz w:val="20"/>
          <w:szCs w:val="20"/>
          <w:lang w:eastAsia="it-IT"/>
        </w:rPr>
      </w:pPr>
    </w:p>
    <w:sectPr w:rsidR="001977DE" w:rsidSect="006A4CD3">
      <w:headerReference w:type="default" r:id="rId9"/>
      <w:footerReference w:type="default" r:id="rId10"/>
      <w:pgSz w:w="11906" w:h="16838"/>
      <w:pgMar w:top="1417" w:right="1134" w:bottom="1134" w:left="1134" w:header="51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0CF" w:rsidRDefault="004B00CF" w:rsidP="00317A86">
      <w:pPr>
        <w:spacing w:after="0" w:line="240" w:lineRule="auto"/>
      </w:pPr>
      <w:r>
        <w:separator/>
      </w:r>
    </w:p>
  </w:endnote>
  <w:endnote w:type="continuationSeparator" w:id="0">
    <w:p w:rsidR="004B00CF" w:rsidRDefault="004B00CF" w:rsidP="0031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CD3" w:rsidRDefault="006A4CD3" w:rsidP="006A4CD3">
    <w:pPr>
      <w:pStyle w:val="Footer"/>
      <w:jc w:val="center"/>
      <w:rPr>
        <w:sz w:val="18"/>
        <w:szCs w:val="18"/>
      </w:rPr>
    </w:pPr>
    <w:r w:rsidRPr="006A4CD3">
      <w:rPr>
        <w:b/>
        <w:sz w:val="18"/>
        <w:szCs w:val="18"/>
        <w:lang w:val="en-GB" w:bidi="en-GB"/>
      </w:rPr>
      <w:t xml:space="preserve">CENTRO DISTRIBUZIONE UTENSILI S.C.P.A. </w:t>
    </w:r>
  </w:p>
  <w:p w:rsidR="006A4CD3" w:rsidRDefault="006A4CD3" w:rsidP="006A4CD3">
    <w:pPr>
      <w:pStyle w:val="Footer"/>
      <w:jc w:val="center"/>
      <w:rPr>
        <w:sz w:val="18"/>
        <w:szCs w:val="18"/>
      </w:rPr>
    </w:pPr>
    <w:r w:rsidRPr="006A4CD3">
      <w:rPr>
        <w:sz w:val="18"/>
        <w:szCs w:val="18"/>
        <w:lang w:val="en-GB" w:bidi="en-GB"/>
      </w:rPr>
      <w:t>Via delle Gerole, 19 – 20867 Caponago (MB) – Italy</w:t>
    </w:r>
  </w:p>
  <w:p w:rsidR="006A4CD3" w:rsidRPr="006A4CD3" w:rsidRDefault="006A4CD3" w:rsidP="006A4CD3">
    <w:pPr>
      <w:pStyle w:val="Footer"/>
      <w:jc w:val="center"/>
      <w:rPr>
        <w:sz w:val="18"/>
        <w:szCs w:val="18"/>
      </w:rPr>
    </w:pPr>
    <w:r>
      <w:rPr>
        <w:sz w:val="18"/>
        <w:szCs w:val="18"/>
        <w:lang w:val="en-GB" w:bidi="en-GB"/>
      </w:rPr>
      <w:t>Tel. +39 02 95746081 - Fax +39 02 95745182</w:t>
    </w:r>
  </w:p>
  <w:p w:rsidR="00317A86" w:rsidRPr="006A4CD3" w:rsidRDefault="00317A86">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0CF" w:rsidRDefault="004B00CF" w:rsidP="00317A86">
      <w:pPr>
        <w:spacing w:after="0" w:line="240" w:lineRule="auto"/>
      </w:pPr>
      <w:r>
        <w:separator/>
      </w:r>
    </w:p>
  </w:footnote>
  <w:footnote w:type="continuationSeparator" w:id="0">
    <w:p w:rsidR="004B00CF" w:rsidRDefault="004B00CF" w:rsidP="00317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86" w:rsidRDefault="00DD3677">
    <w:pPr>
      <w:pStyle w:val="Header"/>
    </w:pPr>
    <w:r>
      <w:rPr>
        <w:noProof/>
      </w:rPr>
      <w:drawing>
        <wp:anchor distT="0" distB="0" distL="114300" distR="114300" simplePos="0" relativeHeight="251658240" behindDoc="0" locked="0" layoutInCell="1" allowOverlap="1">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8137"/>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C4546"/>
    <w:multiLevelType w:val="hybridMultilevel"/>
    <w:tmpl w:val="26528BDA"/>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7EF"/>
    <w:rsid w:val="000268AC"/>
    <w:rsid w:val="0005283A"/>
    <w:rsid w:val="00072FC3"/>
    <w:rsid w:val="000D1B33"/>
    <w:rsid w:val="000E42D0"/>
    <w:rsid w:val="001348EF"/>
    <w:rsid w:val="00135CA4"/>
    <w:rsid w:val="00151F0F"/>
    <w:rsid w:val="00156960"/>
    <w:rsid w:val="00160015"/>
    <w:rsid w:val="001977DE"/>
    <w:rsid w:val="001A1D65"/>
    <w:rsid w:val="001B1D8F"/>
    <w:rsid w:val="001F6CEC"/>
    <w:rsid w:val="00267B0B"/>
    <w:rsid w:val="00283608"/>
    <w:rsid w:val="00297A54"/>
    <w:rsid w:val="002B6532"/>
    <w:rsid w:val="002C4939"/>
    <w:rsid w:val="002F474E"/>
    <w:rsid w:val="00317A86"/>
    <w:rsid w:val="00351055"/>
    <w:rsid w:val="00380E65"/>
    <w:rsid w:val="003938F2"/>
    <w:rsid w:val="003D6C79"/>
    <w:rsid w:val="003E01C8"/>
    <w:rsid w:val="004272B7"/>
    <w:rsid w:val="004301D8"/>
    <w:rsid w:val="00432240"/>
    <w:rsid w:val="00453B08"/>
    <w:rsid w:val="00476A1D"/>
    <w:rsid w:val="00481271"/>
    <w:rsid w:val="0048187A"/>
    <w:rsid w:val="004B00CF"/>
    <w:rsid w:val="004C1498"/>
    <w:rsid w:val="004E1386"/>
    <w:rsid w:val="00522C97"/>
    <w:rsid w:val="005400A2"/>
    <w:rsid w:val="00564E45"/>
    <w:rsid w:val="005A14BD"/>
    <w:rsid w:val="005F682E"/>
    <w:rsid w:val="00630D48"/>
    <w:rsid w:val="006317FE"/>
    <w:rsid w:val="00643B4C"/>
    <w:rsid w:val="006515D6"/>
    <w:rsid w:val="006715CA"/>
    <w:rsid w:val="006A4CD3"/>
    <w:rsid w:val="00724800"/>
    <w:rsid w:val="007267F6"/>
    <w:rsid w:val="00747898"/>
    <w:rsid w:val="00753D56"/>
    <w:rsid w:val="00780BF4"/>
    <w:rsid w:val="007A25D1"/>
    <w:rsid w:val="007B1129"/>
    <w:rsid w:val="007C2112"/>
    <w:rsid w:val="007F0B0C"/>
    <w:rsid w:val="00801708"/>
    <w:rsid w:val="00846299"/>
    <w:rsid w:val="00857C04"/>
    <w:rsid w:val="00877AE4"/>
    <w:rsid w:val="00882291"/>
    <w:rsid w:val="00883B17"/>
    <w:rsid w:val="008A1D4F"/>
    <w:rsid w:val="00934EA8"/>
    <w:rsid w:val="009472B7"/>
    <w:rsid w:val="00947754"/>
    <w:rsid w:val="00997A75"/>
    <w:rsid w:val="009C29AA"/>
    <w:rsid w:val="009C7881"/>
    <w:rsid w:val="009D59A0"/>
    <w:rsid w:val="009F2FBE"/>
    <w:rsid w:val="009F65BD"/>
    <w:rsid w:val="00A347C2"/>
    <w:rsid w:val="00A52071"/>
    <w:rsid w:val="00A760AD"/>
    <w:rsid w:val="00A776CC"/>
    <w:rsid w:val="00A8373B"/>
    <w:rsid w:val="00A85777"/>
    <w:rsid w:val="00A85B30"/>
    <w:rsid w:val="00A97DC8"/>
    <w:rsid w:val="00B0776D"/>
    <w:rsid w:val="00B40505"/>
    <w:rsid w:val="00B61CFD"/>
    <w:rsid w:val="00B77C27"/>
    <w:rsid w:val="00BB1AD4"/>
    <w:rsid w:val="00BB303C"/>
    <w:rsid w:val="00BB6C4E"/>
    <w:rsid w:val="00BD68ED"/>
    <w:rsid w:val="00BE1DD2"/>
    <w:rsid w:val="00C151A7"/>
    <w:rsid w:val="00C36042"/>
    <w:rsid w:val="00C672D0"/>
    <w:rsid w:val="00C76AE4"/>
    <w:rsid w:val="00C80314"/>
    <w:rsid w:val="00C818D0"/>
    <w:rsid w:val="00CB5549"/>
    <w:rsid w:val="00CC3329"/>
    <w:rsid w:val="00CC5905"/>
    <w:rsid w:val="00CD1123"/>
    <w:rsid w:val="00CD286D"/>
    <w:rsid w:val="00CE52DE"/>
    <w:rsid w:val="00D065F0"/>
    <w:rsid w:val="00D5775A"/>
    <w:rsid w:val="00D62EBE"/>
    <w:rsid w:val="00DA4C9A"/>
    <w:rsid w:val="00DD3677"/>
    <w:rsid w:val="00DF0995"/>
    <w:rsid w:val="00E23348"/>
    <w:rsid w:val="00E6395F"/>
    <w:rsid w:val="00E8207B"/>
    <w:rsid w:val="00E8230F"/>
    <w:rsid w:val="00E9233A"/>
    <w:rsid w:val="00EE3907"/>
    <w:rsid w:val="00F05460"/>
    <w:rsid w:val="00F05702"/>
    <w:rsid w:val="00F160AB"/>
    <w:rsid w:val="00F31F3D"/>
    <w:rsid w:val="00F32BEE"/>
    <w:rsid w:val="00F677EF"/>
    <w:rsid w:val="00F77A66"/>
    <w:rsid w:val="00FA0AEF"/>
    <w:rsid w:val="00FD7133"/>
    <w:rsid w:val="00FF6033"/>
    <w:rsid w:val="00FF63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DefaultParagraphFont"/>
    <w:link w:val="BalloonText"/>
    <w:uiPriority w:val="99"/>
    <w:semiHidden/>
    <w:rsid w:val="00297A54"/>
    <w:rPr>
      <w:rFonts w:ascii="Tahoma" w:hAnsi="Tahoma" w:cs="Tahoma"/>
      <w:sz w:val="16"/>
      <w:szCs w:val="16"/>
    </w:rPr>
  </w:style>
  <w:style w:type="paragraph" w:styleId="Header">
    <w:name w:val="header"/>
    <w:basedOn w:val="Normal"/>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DefaultParagraphFont"/>
    <w:link w:val="Header"/>
    <w:uiPriority w:val="99"/>
    <w:rsid w:val="00317A86"/>
  </w:style>
  <w:style w:type="paragraph" w:styleId="Footer">
    <w:name w:val="footer"/>
    <w:basedOn w:val="Normal"/>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DefaultParagraphFont"/>
    <w:link w:val="Footer"/>
    <w:uiPriority w:val="99"/>
    <w:rsid w:val="00317A86"/>
  </w:style>
  <w:style w:type="paragraph" w:styleId="ListParagraph">
    <w:name w:val="List Paragraph"/>
    <w:basedOn w:val="Normal"/>
    <w:uiPriority w:val="34"/>
    <w:qFormat/>
    <w:rsid w:val="001977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DefaultParagraphFont"/>
    <w:link w:val="BalloonText"/>
    <w:uiPriority w:val="99"/>
    <w:semiHidden/>
    <w:rsid w:val="00297A54"/>
    <w:rPr>
      <w:rFonts w:ascii="Tahoma" w:hAnsi="Tahoma" w:cs="Tahoma"/>
      <w:sz w:val="16"/>
      <w:szCs w:val="16"/>
    </w:rPr>
  </w:style>
  <w:style w:type="paragraph" w:styleId="Header">
    <w:name w:val="header"/>
    <w:basedOn w:val="Normal"/>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DefaultParagraphFont"/>
    <w:link w:val="Header"/>
    <w:uiPriority w:val="99"/>
    <w:rsid w:val="00317A86"/>
  </w:style>
  <w:style w:type="paragraph" w:styleId="Footer">
    <w:name w:val="footer"/>
    <w:basedOn w:val="Normal"/>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DefaultParagraphFont"/>
    <w:link w:val="Footer"/>
    <w:uiPriority w:val="99"/>
    <w:rsid w:val="00317A86"/>
  </w:style>
  <w:style w:type="paragraph" w:styleId="ListParagraph">
    <w:name w:val="List Paragraph"/>
    <w:basedOn w:val="Normal"/>
    <w:uiPriority w:val="34"/>
    <w:qFormat/>
    <w:rsid w:val="00197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14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D57E7-7E89-426C-91BA-BBAD8467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1770</Characters>
  <Application>Microsoft Office Word</Application>
  <DocSecurity>4</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Owner</cp:lastModifiedBy>
  <cp:revision>2</cp:revision>
  <cp:lastPrinted>2017-03-02T14:21:00Z</cp:lastPrinted>
  <dcterms:created xsi:type="dcterms:W3CDTF">2017-05-29T15:54:00Z</dcterms:created>
  <dcterms:modified xsi:type="dcterms:W3CDTF">2017-05-29T15:54:00Z</dcterms:modified>
</cp:coreProperties>
</file>